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2E47" w14:textId="77777777" w:rsidR="0000448C" w:rsidRPr="0000448C" w:rsidRDefault="0000448C" w:rsidP="0000448C">
      <w:pPr>
        <w:spacing w:after="0" w:line="240" w:lineRule="auto"/>
        <w:jc w:val="center"/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</w:pPr>
      <w:r w:rsidRPr="00FD668F"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341FCE1C" wp14:editId="4332D19A">
            <wp:simplePos x="0" y="0"/>
            <wp:positionH relativeFrom="column">
              <wp:posOffset>-510540</wp:posOffset>
            </wp:positionH>
            <wp:positionV relativeFrom="paragraph">
              <wp:posOffset>144780</wp:posOffset>
            </wp:positionV>
            <wp:extent cx="781050" cy="638810"/>
            <wp:effectExtent l="0" t="0" r="0" b="8890"/>
            <wp:wrapTight wrapText="bothSides">
              <wp:wrapPolygon edited="0">
                <wp:start x="0" y="0"/>
                <wp:lineTo x="0" y="21256"/>
                <wp:lineTo x="21073" y="21256"/>
                <wp:lineTo x="21073" y="0"/>
                <wp:lineTo x="0" y="0"/>
              </wp:wrapPolygon>
            </wp:wrapTight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12465" r="61444" b="33518"/>
                    <a:stretch/>
                  </pic:blipFill>
                  <pic:spPr bwMode="auto">
                    <a:xfrm>
                      <a:off x="0" y="0"/>
                      <a:ext cx="781050" cy="6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21636" w14:textId="77777777" w:rsidR="0021424B" w:rsidRPr="0000448C" w:rsidRDefault="0000448C" w:rsidP="0000448C">
      <w:pPr>
        <w:spacing w:after="0" w:line="240" w:lineRule="auto"/>
        <w:jc w:val="center"/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</w:pPr>
      <w:r w:rsidRPr="0000448C"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  <w:t>Health and Safety</w:t>
      </w:r>
    </w:p>
    <w:p w14:paraId="43EBE285" w14:textId="77777777" w:rsidR="0000448C" w:rsidRPr="0000448C" w:rsidRDefault="0000448C" w:rsidP="0000448C">
      <w:pPr>
        <w:spacing w:after="0" w:line="240" w:lineRule="auto"/>
        <w:jc w:val="center"/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</w:pPr>
      <w:r w:rsidRPr="0000448C"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  <w:t>Glass and Glazing</w:t>
      </w:r>
    </w:p>
    <w:p w14:paraId="672A6659" w14:textId="77777777" w:rsidR="0000448C" w:rsidRPr="0000448C" w:rsidRDefault="0000448C" w:rsidP="0000448C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14:paraId="1AF36290" w14:textId="77777777" w:rsidR="0000448C" w:rsidRPr="0000448C" w:rsidRDefault="21F43018" w:rsidP="21F43018">
      <w:pPr>
        <w:shd w:val="clear" w:color="auto" w:fill="FFFFFF" w:themeFill="background1"/>
        <w:spacing w:before="100" w:beforeAutospacing="1" w:after="0" w:line="240" w:lineRule="auto"/>
        <w:jc w:val="both"/>
        <w:textAlignment w:val="baseline"/>
        <w:outlineLvl w:val="1"/>
        <w:rPr>
          <w:rFonts w:asciiTheme="majorHAnsi" w:eastAsia="Times New Roman" w:hAnsiTheme="majorHAnsi" w:cstheme="majorBidi"/>
          <w:b/>
          <w:bCs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b/>
          <w:bCs/>
          <w:color w:val="000000" w:themeColor="text1"/>
          <w:sz w:val="18"/>
          <w:szCs w:val="18"/>
          <w:lang w:eastAsia="en-GB"/>
        </w:rPr>
        <w:t>Glass/glazing/window safety </w:t>
      </w:r>
    </w:p>
    <w:p w14:paraId="0047BD54" w14:textId="4100835A" w:rsidR="0000448C" w:rsidRPr="0000448C" w:rsidRDefault="21F43018" w:rsidP="007C21AE">
      <w:pPr>
        <w:shd w:val="clear" w:color="auto" w:fill="FFFFFF" w:themeFill="background1"/>
        <w:spacing w:after="0" w:line="240" w:lineRule="auto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The Workplace (Health, Safety and Welfare) Regulations</w:t>
      </w:r>
      <w:r w:rsidR="00AB5B2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require </w:t>
      </w:r>
      <w:r w:rsidR="00AB5B2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employers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to minimise risks by regularly checking the condition of glass and glazing and ensuring that all glass and glazing installed is of suitable construction.</w:t>
      </w:r>
      <w:r w:rsidR="00375424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 </w:t>
      </w:r>
      <w:r w:rsidR="00375424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R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egulation 14 of the Workplace Regulations states that 'every window or other transparent or translucent surface in a wall, partition, door or gate should, where necessary for reasons of health or safety, be of a safety material or be protected against breakage of the transparent or translucent material; and be appropriately marked or incorporate features to make it apparent.'</w:t>
      </w:r>
    </w:p>
    <w:p w14:paraId="06E1BB7F" w14:textId="77777777" w:rsidR="0000448C" w:rsidRPr="0000448C" w:rsidRDefault="21F43018" w:rsidP="21F43018">
      <w:pPr>
        <w:shd w:val="clear" w:color="auto" w:fill="FFFFFF" w:themeFill="background1"/>
        <w:spacing w:before="100" w:beforeAutospacing="1" w:after="0" w:line="240" w:lineRule="auto"/>
        <w:jc w:val="both"/>
        <w:textAlignment w:val="baseline"/>
        <w:outlineLvl w:val="1"/>
        <w:rPr>
          <w:rFonts w:asciiTheme="majorHAnsi" w:eastAsia="Times New Roman" w:hAnsiTheme="majorHAnsi" w:cstheme="majorBidi"/>
          <w:b/>
          <w:bCs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b/>
          <w:bCs/>
          <w:color w:val="000000" w:themeColor="text1"/>
          <w:sz w:val="18"/>
          <w:szCs w:val="18"/>
          <w:lang w:eastAsia="en-GB"/>
        </w:rPr>
        <w:t>Assessing glass and glazing</w:t>
      </w:r>
    </w:p>
    <w:p w14:paraId="42C1FAFE" w14:textId="2935A45A" w:rsidR="0000448C" w:rsidRPr="0000448C" w:rsidRDefault="007C21AE" w:rsidP="007C21AE">
      <w:pPr>
        <w:shd w:val="clear" w:color="auto" w:fill="FFFFFF" w:themeFill="background1"/>
        <w:spacing w:after="0" w:line="240" w:lineRule="auto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The designated person in each Academy must</w:t>
      </w:r>
      <w:r w:rsidR="21F43018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ensure that an assessment has been undertaken of every window or other transparent or translucent surface in a wall, partition, </w:t>
      </w:r>
      <w:proofErr w:type="gramStart"/>
      <w:r w:rsidR="21F43018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door</w:t>
      </w:r>
      <w:proofErr w:type="gramEnd"/>
      <w:r w:rsidR="21F43018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or gate to establish whether there is a risk of anyone being hurt if people or objects come into contact with it, or if it breaks.</w:t>
      </w:r>
      <w:r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 The </w:t>
      </w:r>
      <w:r w:rsidR="21F43018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assessment should consider all relevant factors such as the location of the glazing, the activities taking place nearby, the volume of pedestrians and any previous experience of accidents</w:t>
      </w:r>
      <w:r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or incidents.</w:t>
      </w:r>
      <w:r w:rsidR="0000448C">
        <w:br/>
      </w:r>
      <w:r w:rsidR="0000448C">
        <w:br/>
      </w:r>
      <w:r w:rsidR="21F43018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The glazing areas should be considered in the following order (highest priority first):</w:t>
      </w:r>
    </w:p>
    <w:p w14:paraId="08D6EF99" w14:textId="77777777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Glazing in doors and side panels - all glazing   </w:t>
      </w:r>
    </w:p>
    <w:p w14:paraId="5DCC3243" w14:textId="789AC190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Low</w:t>
      </w:r>
      <w:r w:rsidR="007C21AE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-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level glazing in circulation areas - 1500mm and below   </w:t>
      </w:r>
    </w:p>
    <w:p w14:paraId="5A28C030" w14:textId="2C6669ED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Other </w:t>
      </w:r>
      <w:r w:rsidR="007C21AE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low-level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glazing - 1500mm and below   </w:t>
      </w:r>
    </w:p>
    <w:p w14:paraId="7DACE331" w14:textId="77777777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Stairwells and filled in balustrades - all glazing   </w:t>
      </w:r>
    </w:p>
    <w:p w14:paraId="552D4E7E" w14:textId="6400AE37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Shower and changing areas - all glazing   </w:t>
      </w:r>
    </w:p>
    <w:p w14:paraId="1ECBFB6B" w14:textId="77777777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Gymnasium, sports </w:t>
      </w:r>
      <w:proofErr w:type="gramStart"/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halls</w:t>
      </w:r>
      <w:proofErr w:type="gramEnd"/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and other areas of high activity - all glazing   </w:t>
      </w:r>
    </w:p>
    <w:p w14:paraId="6BC7F14B" w14:textId="77777777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Display cabinets   </w:t>
      </w:r>
    </w:p>
    <w:p w14:paraId="369458FF" w14:textId="77777777" w:rsidR="0000448C" w:rsidRPr="0000448C" w:rsidRDefault="21F43018" w:rsidP="21F4301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Roof lights</w:t>
      </w:r>
    </w:p>
    <w:p w14:paraId="6E7BEAA2" w14:textId="77777777" w:rsidR="0000448C" w:rsidRPr="0000448C" w:rsidRDefault="21F43018" w:rsidP="21F430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 </w:t>
      </w:r>
    </w:p>
    <w:p w14:paraId="639AC4D5" w14:textId="6FAB0037" w:rsidR="0000448C" w:rsidRPr="0000448C" w:rsidRDefault="21F43018" w:rsidP="21F430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Where the assessment identifies a risk, </w:t>
      </w:r>
      <w:r w:rsidR="007C21AE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senior leaders / premises managers 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should determine what action is appropriate to reduce the risk. </w:t>
      </w:r>
      <w:r w:rsidR="007C21AE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The following should be considered</w:t>
      </w:r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as part of the approach to risk management: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 </w:t>
      </w:r>
    </w:p>
    <w:p w14:paraId="0A37501D" w14:textId="77777777" w:rsidR="0000448C" w:rsidRPr="0000448C" w:rsidRDefault="0000448C" w:rsidP="21F4301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</w:p>
    <w:p w14:paraId="439E8F05" w14:textId="0E342875" w:rsidR="0000448C" w:rsidRPr="0000448C" w:rsidRDefault="21F43018" w:rsidP="21F4301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Reorganising pedestrian traffic routes to avoid the risk of glazing being broken</w:t>
      </w:r>
    </w:p>
    <w:p w14:paraId="4EAD9515" w14:textId="1457B99D" w:rsidR="0000448C" w:rsidRPr="0000448C" w:rsidRDefault="21F43018" w:rsidP="21F4301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Put up suitable barriers or screens to prevent people </w:t>
      </w:r>
      <w:proofErr w:type="gramStart"/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coming into contact with</w:t>
      </w:r>
      <w:proofErr w:type="gramEnd"/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the glazing </w:t>
      </w:r>
    </w:p>
    <w:p w14:paraId="517D5793" w14:textId="2192D13B" w:rsidR="0000448C" w:rsidRPr="0000448C" w:rsidRDefault="21F43018" w:rsidP="21F4301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Modify the glazing to reduce the risk of injury </w:t>
      </w:r>
      <w:r w:rsidR="008D37AC"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e.g.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, by applying a safety film which prevents it from shattering in a dangerous manner, or by marking it to prevent people bumping into it</w:t>
      </w:r>
    </w:p>
    <w:p w14:paraId="3C981649" w14:textId="26A00A24" w:rsidR="0000448C" w:rsidRPr="0000448C" w:rsidRDefault="21F43018" w:rsidP="21F4301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Limit the area of glazing</w:t>
      </w:r>
    </w:p>
    <w:p w14:paraId="5DAB6C7B" w14:textId="55326BCC" w:rsidR="0000448C" w:rsidRPr="008D37AC" w:rsidRDefault="21F43018" w:rsidP="00F92D7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Replace the glazing with a safety material</w:t>
      </w:r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(seeking advice from building surveyors as required)</w:t>
      </w:r>
    </w:p>
    <w:p w14:paraId="0A5E5F55" w14:textId="77777777" w:rsidR="008D37AC" w:rsidRPr="008D37AC" w:rsidRDefault="008D37AC" w:rsidP="008D37AC">
      <w:pPr>
        <w:shd w:val="clear" w:color="auto" w:fill="FFFFFF" w:themeFill="background1"/>
        <w:spacing w:after="0" w:line="240" w:lineRule="auto"/>
        <w:ind w:left="714"/>
        <w:jc w:val="both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</w:p>
    <w:p w14:paraId="39A0AF89" w14:textId="18E55E36" w:rsidR="0000448C" w:rsidRPr="0000448C" w:rsidRDefault="21F43018" w:rsidP="008D37AC">
      <w:pPr>
        <w:shd w:val="clear" w:color="auto" w:fill="FFFFFF" w:themeFill="background1"/>
        <w:spacing w:after="0" w:line="240" w:lineRule="auto"/>
        <w:textAlignment w:val="baseline"/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</w:pP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Where premises identify a significant amount of work is required to reduce risk, </w:t>
      </w:r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senior leaders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/premise managers mus</w:t>
      </w:r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t complete 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programme of action</w:t>
      </w:r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to accompany the risk </w:t>
      </w:r>
      <w:proofErr w:type="gramStart"/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assessment, and</w:t>
      </w:r>
      <w:proofErr w:type="gramEnd"/>
      <w:r w:rsidR="008D37AC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 xml:space="preserve"> </w:t>
      </w:r>
      <w:r w:rsidRPr="21F43018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eastAsia="en-GB"/>
        </w:rPr>
        <w:t>ensure that all risks are appropriately treated within a reasonable time scale.</w:t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 </w:t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Premise managers must ensure that assessment records are updated wherever safety measures have been implemented.</w:t>
      </w:r>
      <w:r w:rsidR="0000448C" w:rsidRPr="0000448C">
        <w:rPr>
          <w:rFonts w:asciiTheme="majorHAnsi" w:eastAsia="Times New Roman" w:hAnsiTheme="majorHAnsi" w:cstheme="majorHAnsi"/>
          <w:color w:val="000000"/>
          <w:sz w:val="18"/>
          <w:szCs w:val="18"/>
          <w:lang w:eastAsia="en-GB"/>
        </w:rPr>
        <w:br/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   </w:t>
      </w:r>
      <w:r w:rsidR="0000448C" w:rsidRPr="0000448C">
        <w:rPr>
          <w:rFonts w:asciiTheme="majorHAnsi" w:eastAsia="Times New Roman" w:hAnsiTheme="majorHAnsi" w:cstheme="majorHAnsi"/>
          <w:color w:val="000000"/>
          <w:sz w:val="18"/>
          <w:szCs w:val="18"/>
          <w:lang w:eastAsia="en-GB"/>
        </w:rPr>
        <w:br/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Prior to replacing damaged panes of glass, </w:t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senior leaders/premises managers</w:t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 must ensure that consideration is given to its location and the likelihood of further damage/injury being caused through impact. Where there is a risk, glazing should be replaced by a suitable safety material. Any glass that MUST be replaced with safety glass when damaged</w:t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, and any risk assessments and action plans should clearly state this</w:t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. All safety materials should be marked to indicate the standard to which it conforms.</w:t>
      </w:r>
      <w:r w:rsidR="0000448C" w:rsidRPr="0000448C">
        <w:rPr>
          <w:rFonts w:asciiTheme="majorHAnsi" w:eastAsia="Times New Roman" w:hAnsiTheme="majorHAnsi" w:cstheme="majorHAnsi"/>
          <w:color w:val="000000"/>
          <w:sz w:val="18"/>
          <w:szCs w:val="18"/>
          <w:lang w:eastAsia="en-GB"/>
        </w:rPr>
        <w:br/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   </w:t>
      </w:r>
      <w:r w:rsidR="0000448C" w:rsidRPr="0000448C">
        <w:rPr>
          <w:rFonts w:asciiTheme="majorHAnsi" w:eastAsia="Times New Roman" w:hAnsiTheme="majorHAnsi" w:cstheme="majorHAnsi"/>
          <w:color w:val="000000"/>
          <w:sz w:val="18"/>
          <w:szCs w:val="18"/>
          <w:lang w:eastAsia="en-GB"/>
        </w:rPr>
        <w:br/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G</w:t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lazing work </w:t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may</w:t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 only </w:t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 xml:space="preserve">be </w:t>
      </w:r>
      <w:r w:rsidR="0000448C" w:rsidRPr="21F43018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undertaken by competent individuals</w:t>
      </w:r>
      <w:r w:rsidR="008D37AC">
        <w:rPr>
          <w:rFonts w:asciiTheme="majorHAnsi" w:eastAsia="Times New Roman" w:hAnsiTheme="majorHAnsi" w:cstheme="majorBidi"/>
          <w:color w:val="000000"/>
          <w:sz w:val="18"/>
          <w:szCs w:val="18"/>
          <w:lang w:eastAsia="en-GB"/>
        </w:rPr>
        <w:t>, and in accordance with the relevant premises management policies such as Contractor and Asbestos Management Policies.</w:t>
      </w:r>
    </w:p>
    <w:p w14:paraId="02EB378F" w14:textId="77777777" w:rsidR="0000448C" w:rsidRPr="0000448C" w:rsidRDefault="0000448C" w:rsidP="0000448C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GB"/>
        </w:rPr>
      </w:pPr>
    </w:p>
    <w:p w14:paraId="6A05A809" w14:textId="77777777" w:rsidR="0000448C" w:rsidRPr="0000448C" w:rsidRDefault="0000448C" w:rsidP="0000448C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eastAsia="en-GB"/>
        </w:rPr>
      </w:pPr>
    </w:p>
    <w:p w14:paraId="5A39BBE3" w14:textId="77777777" w:rsidR="0000448C" w:rsidRPr="0000448C" w:rsidRDefault="0000448C" w:rsidP="0000448C">
      <w:pPr>
        <w:spacing w:after="0" w:line="240" w:lineRule="auto"/>
        <w:rPr>
          <w:rFonts w:asciiTheme="majorHAnsi" w:hAnsiTheme="majorHAnsi" w:cstheme="majorHAnsi"/>
          <w:sz w:val="18"/>
          <w:szCs w:val="18"/>
          <w:lang w:val="en-US"/>
        </w:rPr>
      </w:pPr>
    </w:p>
    <w:sectPr w:rsidR="0000448C" w:rsidRPr="0000448C" w:rsidSect="000044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5C59"/>
    <w:multiLevelType w:val="multilevel"/>
    <w:tmpl w:val="3A5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45471"/>
    <w:multiLevelType w:val="multilevel"/>
    <w:tmpl w:val="58D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218427">
    <w:abstractNumId w:val="0"/>
  </w:num>
  <w:num w:numId="2" w16cid:durableId="21208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8C"/>
    <w:rsid w:val="0000448C"/>
    <w:rsid w:val="000318D2"/>
    <w:rsid w:val="0021424B"/>
    <w:rsid w:val="00375424"/>
    <w:rsid w:val="00417F9F"/>
    <w:rsid w:val="007C21AE"/>
    <w:rsid w:val="008D37AC"/>
    <w:rsid w:val="00AB5B2C"/>
    <w:rsid w:val="21F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1AA"/>
  <w15:chartTrackingRefBased/>
  <w15:docId w15:val="{0F7FEA39-C3BA-4608-977D-EA627A7D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4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44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04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 Thorley</dc:creator>
  <cp:keywords/>
  <dc:description/>
  <cp:lastModifiedBy>Helen  Thorley</cp:lastModifiedBy>
  <cp:revision>2</cp:revision>
  <dcterms:created xsi:type="dcterms:W3CDTF">2022-05-13T07:48:00Z</dcterms:created>
  <dcterms:modified xsi:type="dcterms:W3CDTF">2022-05-13T07:48:00Z</dcterms:modified>
</cp:coreProperties>
</file>