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2E47" w14:textId="77777777" w:rsidR="0000448C" w:rsidRPr="0000448C" w:rsidRDefault="0000448C" w:rsidP="0000448C">
      <w:pPr>
        <w:spacing w:after="0" w:line="240" w:lineRule="auto"/>
        <w:jc w:val="center"/>
        <w:rPr>
          <w:rFonts w:asciiTheme="majorHAnsi" w:hAnsiTheme="majorHAnsi" w:cstheme="majorHAnsi"/>
          <w:b/>
          <w:sz w:val="44"/>
          <w:szCs w:val="44"/>
          <w:u w:val="single"/>
          <w:lang w:val="en-US"/>
        </w:rPr>
      </w:pPr>
      <w:r w:rsidRPr="00FD668F">
        <w:rPr>
          <w:noProof/>
          <w:sz w:val="20"/>
          <w:lang w:eastAsia="en-GB"/>
        </w:rPr>
        <w:drawing>
          <wp:anchor distT="0" distB="0" distL="114300" distR="114300" simplePos="0" relativeHeight="251658240" behindDoc="1" locked="0" layoutInCell="1" allowOverlap="1" wp14:anchorId="341FCE1C" wp14:editId="690BB025">
            <wp:simplePos x="0" y="0"/>
            <wp:positionH relativeFrom="column">
              <wp:posOffset>-601980</wp:posOffset>
            </wp:positionH>
            <wp:positionV relativeFrom="paragraph">
              <wp:posOffset>0</wp:posOffset>
            </wp:positionV>
            <wp:extent cx="781050" cy="638810"/>
            <wp:effectExtent l="0" t="0" r="0" b="8890"/>
            <wp:wrapTight wrapText="bothSides">
              <wp:wrapPolygon edited="0">
                <wp:start x="0" y="0"/>
                <wp:lineTo x="0" y="21256"/>
                <wp:lineTo x="21073" y="21256"/>
                <wp:lineTo x="21073" y="0"/>
                <wp:lineTo x="0" y="0"/>
              </wp:wrapPolygon>
            </wp:wrapTight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7" t="12465" r="61444" b="33518"/>
                    <a:stretch/>
                  </pic:blipFill>
                  <pic:spPr bwMode="auto">
                    <a:xfrm>
                      <a:off x="0" y="0"/>
                      <a:ext cx="781050" cy="638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521636" w14:textId="77777777" w:rsidR="0021424B" w:rsidRPr="0000448C" w:rsidRDefault="0000448C" w:rsidP="0000448C">
      <w:pPr>
        <w:spacing w:after="0" w:line="240" w:lineRule="auto"/>
        <w:jc w:val="center"/>
        <w:rPr>
          <w:rFonts w:asciiTheme="majorHAnsi" w:hAnsiTheme="majorHAnsi" w:cstheme="majorHAnsi"/>
          <w:b/>
          <w:sz w:val="44"/>
          <w:szCs w:val="44"/>
          <w:u w:val="single"/>
          <w:lang w:val="en-US"/>
        </w:rPr>
      </w:pPr>
      <w:r w:rsidRPr="0000448C">
        <w:rPr>
          <w:rFonts w:asciiTheme="majorHAnsi" w:hAnsiTheme="majorHAnsi" w:cstheme="majorHAnsi"/>
          <w:b/>
          <w:sz w:val="44"/>
          <w:szCs w:val="44"/>
          <w:u w:val="single"/>
          <w:lang w:val="en-US"/>
        </w:rPr>
        <w:t>Health and Safety</w:t>
      </w:r>
    </w:p>
    <w:p w14:paraId="23857004" w14:textId="77777777" w:rsidR="0000448C" w:rsidRPr="0000448C" w:rsidRDefault="0093350E" w:rsidP="0000448C">
      <w:pPr>
        <w:spacing w:after="0" w:line="240" w:lineRule="auto"/>
        <w:jc w:val="center"/>
        <w:rPr>
          <w:rFonts w:asciiTheme="majorHAnsi" w:hAnsiTheme="majorHAnsi" w:cstheme="majorHAnsi"/>
          <w:b/>
          <w:sz w:val="44"/>
          <w:szCs w:val="44"/>
          <w:u w:val="single"/>
          <w:lang w:val="en-US"/>
        </w:rPr>
      </w:pPr>
      <w:r>
        <w:rPr>
          <w:rFonts w:asciiTheme="majorHAnsi" w:hAnsiTheme="majorHAnsi" w:cstheme="majorHAnsi"/>
          <w:b/>
          <w:sz w:val="44"/>
          <w:szCs w:val="44"/>
          <w:u w:val="single"/>
          <w:lang w:val="en-US"/>
        </w:rPr>
        <w:t>Avoiding Finger Trapping</w:t>
      </w:r>
    </w:p>
    <w:p w14:paraId="672A6659" w14:textId="77777777" w:rsidR="0093350E" w:rsidRPr="0093350E" w:rsidRDefault="0093350E" w:rsidP="0093350E"/>
    <w:p w14:paraId="7AC0E620" w14:textId="713A6E04" w:rsidR="0093350E" w:rsidRPr="007316A2" w:rsidRDefault="555CDA23" w:rsidP="007316A2">
      <w:pPr>
        <w:pStyle w:val="Heading1"/>
        <w:spacing w:before="0" w:line="276" w:lineRule="auto"/>
        <w:jc w:val="both"/>
        <w:rPr>
          <w:color w:val="auto"/>
          <w:sz w:val="20"/>
          <w:szCs w:val="20"/>
        </w:rPr>
      </w:pPr>
      <w:r w:rsidRPr="007316A2">
        <w:rPr>
          <w:color w:val="auto"/>
          <w:sz w:val="20"/>
          <w:szCs w:val="20"/>
        </w:rPr>
        <w:t>Headteachers,</w:t>
      </w:r>
      <w:r w:rsidR="000E4640">
        <w:rPr>
          <w:color w:val="auto"/>
          <w:sz w:val="20"/>
          <w:szCs w:val="20"/>
        </w:rPr>
        <w:t xml:space="preserve"> senior leaders and</w:t>
      </w:r>
      <w:r w:rsidRPr="007316A2">
        <w:rPr>
          <w:color w:val="auto"/>
          <w:sz w:val="20"/>
          <w:szCs w:val="20"/>
        </w:rPr>
        <w:t xml:space="preserve"> premises managers should be aware of the potential hazard of finger trapping from unprotected door hinges and must consider control measures to minimise the risk of injuries occurring.</w:t>
      </w:r>
      <w:r w:rsidR="007316A2" w:rsidRPr="007316A2">
        <w:rPr>
          <w:color w:val="auto"/>
          <w:sz w:val="20"/>
          <w:szCs w:val="20"/>
        </w:rPr>
        <w:t xml:space="preserve"> </w:t>
      </w:r>
      <w:r w:rsidRPr="007316A2">
        <w:rPr>
          <w:color w:val="auto"/>
          <w:sz w:val="20"/>
          <w:szCs w:val="20"/>
        </w:rPr>
        <w:t xml:space="preserve">Accidents </w:t>
      </w:r>
      <w:r w:rsidR="007316A2" w:rsidRPr="007316A2">
        <w:rPr>
          <w:color w:val="auto"/>
          <w:sz w:val="20"/>
          <w:szCs w:val="20"/>
        </w:rPr>
        <w:t>can occur when</w:t>
      </w:r>
      <w:r w:rsidRPr="007316A2">
        <w:rPr>
          <w:color w:val="auto"/>
          <w:sz w:val="20"/>
          <w:szCs w:val="20"/>
        </w:rPr>
        <w:t xml:space="preserve"> pupils' </w:t>
      </w:r>
      <w:r w:rsidR="000E4640">
        <w:rPr>
          <w:color w:val="auto"/>
          <w:sz w:val="20"/>
          <w:szCs w:val="20"/>
        </w:rPr>
        <w:t>or other i</w:t>
      </w:r>
      <w:r w:rsidR="007316A2" w:rsidRPr="007316A2">
        <w:rPr>
          <w:color w:val="auto"/>
          <w:sz w:val="20"/>
          <w:szCs w:val="20"/>
        </w:rPr>
        <w:t xml:space="preserve">ndividuals’ </w:t>
      </w:r>
      <w:r w:rsidRPr="007316A2">
        <w:rPr>
          <w:color w:val="auto"/>
          <w:sz w:val="20"/>
          <w:szCs w:val="20"/>
        </w:rPr>
        <w:t>fingers become trapped in the hinged side of unprotected doors</w:t>
      </w:r>
      <w:r w:rsidR="007316A2" w:rsidRPr="007316A2">
        <w:rPr>
          <w:color w:val="auto"/>
          <w:sz w:val="20"/>
          <w:szCs w:val="20"/>
        </w:rPr>
        <w:t>, and i</w:t>
      </w:r>
      <w:r w:rsidRPr="007316A2">
        <w:rPr>
          <w:color w:val="auto"/>
          <w:sz w:val="20"/>
          <w:szCs w:val="20"/>
        </w:rPr>
        <w:t>njuries can be serious</w:t>
      </w:r>
      <w:r w:rsidR="007316A2" w:rsidRPr="007316A2">
        <w:rPr>
          <w:color w:val="auto"/>
          <w:sz w:val="20"/>
          <w:szCs w:val="20"/>
        </w:rPr>
        <w:t>.</w:t>
      </w:r>
    </w:p>
    <w:p w14:paraId="363FD6C2" w14:textId="77777777" w:rsidR="0093350E" w:rsidRPr="004B1DD0" w:rsidRDefault="555CDA23" w:rsidP="555CDA23">
      <w:pPr>
        <w:pStyle w:val="Heading2"/>
        <w:jc w:val="both"/>
        <w:rPr>
          <w:rFonts w:asciiTheme="majorHAnsi" w:hAnsiTheme="majorHAnsi" w:cstheme="majorBidi"/>
          <w:sz w:val="24"/>
          <w:szCs w:val="24"/>
          <w:u w:val="single"/>
        </w:rPr>
      </w:pPr>
      <w:r w:rsidRPr="555CDA23">
        <w:rPr>
          <w:rFonts w:asciiTheme="majorHAnsi" w:hAnsiTheme="majorHAnsi" w:cstheme="majorBidi"/>
          <w:sz w:val="24"/>
          <w:szCs w:val="24"/>
          <w:u w:val="single"/>
        </w:rPr>
        <w:t>Risk Assessment</w:t>
      </w:r>
    </w:p>
    <w:p w14:paraId="00D82024" w14:textId="630C0C16" w:rsidR="0093350E" w:rsidRPr="0093350E" w:rsidRDefault="555CDA23" w:rsidP="000E4640">
      <w:pPr>
        <w:pStyle w:val="NormalWeb"/>
        <w:spacing w:before="0" w:beforeAutospacing="0" w:after="0" w:afterAutospacing="0" w:line="276" w:lineRule="auto"/>
        <w:rPr>
          <w:rFonts w:asciiTheme="majorHAnsi" w:hAnsiTheme="majorHAnsi" w:cstheme="majorBidi"/>
          <w:sz w:val="20"/>
          <w:szCs w:val="20"/>
        </w:rPr>
      </w:pPr>
      <w:r w:rsidRPr="555CDA23">
        <w:rPr>
          <w:rFonts w:asciiTheme="majorHAnsi" w:hAnsiTheme="majorHAnsi" w:cstheme="majorBidi"/>
          <w:sz w:val="20"/>
          <w:szCs w:val="20"/>
        </w:rPr>
        <w:t xml:space="preserve">Although all doors can pose a potential collision hazard, </w:t>
      </w:r>
      <w:r w:rsidR="000E4640">
        <w:rPr>
          <w:rFonts w:asciiTheme="majorHAnsi" w:hAnsiTheme="majorHAnsi" w:cstheme="majorBidi"/>
          <w:sz w:val="20"/>
          <w:szCs w:val="20"/>
        </w:rPr>
        <w:t>academies should</w:t>
      </w:r>
      <w:r w:rsidRPr="555CDA23">
        <w:rPr>
          <w:rFonts w:asciiTheme="majorHAnsi" w:hAnsiTheme="majorHAnsi" w:cstheme="majorBidi"/>
          <w:sz w:val="20"/>
          <w:szCs w:val="20"/>
        </w:rPr>
        <w:t xml:space="preserve"> carry out a risk assessment to identify any significant risks associated with finger trapping in the hinge side of door and consider any precautions required to prevent finger trapping.</w:t>
      </w:r>
      <w:r w:rsidR="000E4640">
        <w:rPr>
          <w:rFonts w:asciiTheme="majorHAnsi" w:hAnsiTheme="majorHAnsi" w:cstheme="majorBidi"/>
          <w:sz w:val="20"/>
          <w:szCs w:val="20"/>
        </w:rPr>
        <w:t xml:space="preserve"> </w:t>
      </w:r>
      <w:r w:rsidRPr="555CDA23">
        <w:rPr>
          <w:rFonts w:asciiTheme="majorHAnsi" w:hAnsiTheme="majorHAnsi" w:cstheme="majorBidi"/>
          <w:sz w:val="20"/>
          <w:szCs w:val="20"/>
        </w:rPr>
        <w:t>Particular attention should be paid to the following:</w:t>
      </w:r>
    </w:p>
    <w:p w14:paraId="34CB931D" w14:textId="60389097" w:rsidR="0093350E" w:rsidRPr="0093350E" w:rsidRDefault="555CDA23" w:rsidP="555CDA23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Theme="majorHAnsi" w:hAnsiTheme="majorHAnsi" w:cstheme="majorBidi"/>
          <w:sz w:val="20"/>
          <w:szCs w:val="20"/>
        </w:rPr>
      </w:pPr>
      <w:r w:rsidRPr="555CDA23">
        <w:rPr>
          <w:rFonts w:asciiTheme="majorHAnsi" w:hAnsiTheme="majorHAnsi" w:cstheme="majorBidi"/>
          <w:sz w:val="20"/>
          <w:szCs w:val="20"/>
        </w:rPr>
        <w:t>Doors next to areas where pupils congregate</w:t>
      </w:r>
    </w:p>
    <w:p w14:paraId="55686D63" w14:textId="750FE092" w:rsidR="0093350E" w:rsidRPr="0093350E" w:rsidRDefault="555CDA23" w:rsidP="555CDA23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Theme="majorHAnsi" w:hAnsiTheme="majorHAnsi" w:cstheme="majorBidi"/>
          <w:sz w:val="20"/>
          <w:szCs w:val="20"/>
        </w:rPr>
      </w:pPr>
      <w:r w:rsidRPr="555CDA23">
        <w:rPr>
          <w:rFonts w:asciiTheme="majorHAnsi" w:hAnsiTheme="majorHAnsi" w:cstheme="majorBidi"/>
          <w:sz w:val="20"/>
          <w:szCs w:val="20"/>
        </w:rPr>
        <w:t>Doors which pupils queue beside for lunch or other reasons</w:t>
      </w:r>
    </w:p>
    <w:p w14:paraId="3CD54775" w14:textId="7D273A92" w:rsidR="0093350E" w:rsidRPr="0093350E" w:rsidRDefault="555CDA23" w:rsidP="555CDA23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Theme="majorHAnsi" w:hAnsiTheme="majorHAnsi" w:cstheme="majorBidi"/>
          <w:sz w:val="20"/>
          <w:szCs w:val="20"/>
        </w:rPr>
      </w:pPr>
      <w:r w:rsidRPr="555CDA23">
        <w:rPr>
          <w:rFonts w:asciiTheme="majorHAnsi" w:hAnsiTheme="majorHAnsi" w:cstheme="majorBidi"/>
          <w:sz w:val="20"/>
          <w:szCs w:val="20"/>
        </w:rPr>
        <w:t>Doors at or near entrances</w:t>
      </w:r>
    </w:p>
    <w:p w14:paraId="24FA3324" w14:textId="64FEE4DA" w:rsidR="0093350E" w:rsidRPr="0093350E" w:rsidRDefault="555CDA23" w:rsidP="555CDA23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Theme="majorHAnsi" w:hAnsiTheme="majorHAnsi" w:cstheme="majorBidi"/>
          <w:sz w:val="20"/>
          <w:szCs w:val="20"/>
        </w:rPr>
      </w:pPr>
      <w:r w:rsidRPr="555CDA23">
        <w:rPr>
          <w:rFonts w:asciiTheme="majorHAnsi" w:hAnsiTheme="majorHAnsi" w:cstheme="majorBidi"/>
          <w:sz w:val="20"/>
          <w:szCs w:val="20"/>
        </w:rPr>
        <w:t>Toilet doors</w:t>
      </w:r>
    </w:p>
    <w:p w14:paraId="60448437" w14:textId="580BC36A" w:rsidR="0093350E" w:rsidRPr="0093350E" w:rsidRDefault="555CDA23" w:rsidP="555CDA23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Theme="majorHAnsi" w:hAnsiTheme="majorHAnsi" w:cstheme="majorBidi"/>
          <w:sz w:val="20"/>
          <w:szCs w:val="20"/>
        </w:rPr>
      </w:pPr>
      <w:r w:rsidRPr="555CDA23">
        <w:rPr>
          <w:rFonts w:asciiTheme="majorHAnsi" w:hAnsiTheme="majorHAnsi" w:cstheme="majorBidi"/>
          <w:sz w:val="20"/>
          <w:szCs w:val="20"/>
        </w:rPr>
        <w:t>Doors to changing rooms</w:t>
      </w:r>
    </w:p>
    <w:p w14:paraId="211464DA" w14:textId="5654AEC5" w:rsidR="0093350E" w:rsidRPr="0093350E" w:rsidRDefault="555CDA23" w:rsidP="555CDA23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Theme="majorHAnsi" w:hAnsiTheme="majorHAnsi" w:cstheme="majorBidi"/>
          <w:sz w:val="20"/>
          <w:szCs w:val="20"/>
        </w:rPr>
      </w:pPr>
      <w:r w:rsidRPr="555CDA23">
        <w:rPr>
          <w:rFonts w:asciiTheme="majorHAnsi" w:hAnsiTheme="majorHAnsi" w:cstheme="majorBidi"/>
          <w:sz w:val="20"/>
          <w:szCs w:val="20"/>
        </w:rPr>
        <w:t>Doors which are susceptible to strong winds</w:t>
      </w:r>
    </w:p>
    <w:p w14:paraId="238DD73B" w14:textId="09C19FAD" w:rsidR="0093350E" w:rsidRPr="0093350E" w:rsidRDefault="555CDA23" w:rsidP="555CDA23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Theme="majorHAnsi" w:hAnsiTheme="majorHAnsi" w:cstheme="majorBidi"/>
          <w:sz w:val="20"/>
          <w:szCs w:val="20"/>
        </w:rPr>
      </w:pPr>
      <w:r w:rsidRPr="555CDA23">
        <w:rPr>
          <w:rFonts w:asciiTheme="majorHAnsi" w:hAnsiTheme="majorHAnsi" w:cstheme="majorBidi"/>
          <w:sz w:val="20"/>
          <w:szCs w:val="20"/>
        </w:rPr>
        <w:t>Doors where incidents have taken place previously (check accident records)</w:t>
      </w:r>
    </w:p>
    <w:p w14:paraId="0189A9E6" w14:textId="6E674E8C" w:rsidR="0093350E" w:rsidRDefault="555CDA23" w:rsidP="555CDA23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Theme="majorHAnsi" w:hAnsiTheme="majorHAnsi" w:cstheme="majorBidi"/>
          <w:sz w:val="20"/>
          <w:szCs w:val="20"/>
        </w:rPr>
      </w:pPr>
      <w:r w:rsidRPr="555CDA23">
        <w:rPr>
          <w:rFonts w:asciiTheme="majorHAnsi" w:hAnsiTheme="majorHAnsi" w:cstheme="majorBidi"/>
          <w:sz w:val="20"/>
          <w:szCs w:val="20"/>
        </w:rPr>
        <w:t>Heavy doors (with or without door closers)</w:t>
      </w:r>
    </w:p>
    <w:p w14:paraId="0C3D526A" w14:textId="3D633C4B" w:rsidR="000E4640" w:rsidRPr="0093350E" w:rsidRDefault="000E4640" w:rsidP="555CDA23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Theme="majorHAnsi" w:hAnsiTheme="majorHAnsi" w:cstheme="majorBidi"/>
          <w:sz w:val="20"/>
          <w:szCs w:val="20"/>
        </w:rPr>
      </w:pPr>
      <w:r>
        <w:rPr>
          <w:rFonts w:asciiTheme="majorHAnsi" w:hAnsiTheme="majorHAnsi" w:cstheme="majorBidi"/>
          <w:sz w:val="20"/>
          <w:szCs w:val="20"/>
        </w:rPr>
        <w:t xml:space="preserve">Areas used by lettings who accommodate children or vulnerable individuals </w:t>
      </w:r>
    </w:p>
    <w:p w14:paraId="73BEB653" w14:textId="633668A7" w:rsidR="0093350E" w:rsidRPr="0093350E" w:rsidRDefault="555CDA23" w:rsidP="000E4640">
      <w:pPr>
        <w:pStyle w:val="NormalWeb"/>
        <w:spacing w:before="0" w:beforeAutospacing="0" w:after="0" w:afterAutospacing="0" w:line="276" w:lineRule="auto"/>
        <w:rPr>
          <w:rFonts w:asciiTheme="majorHAnsi" w:hAnsiTheme="majorHAnsi" w:cstheme="majorBidi"/>
          <w:sz w:val="20"/>
          <w:szCs w:val="20"/>
        </w:rPr>
      </w:pPr>
      <w:r w:rsidRPr="555CDA23">
        <w:rPr>
          <w:rFonts w:asciiTheme="majorHAnsi" w:hAnsiTheme="majorHAnsi" w:cstheme="majorBidi"/>
          <w:sz w:val="20"/>
          <w:szCs w:val="20"/>
        </w:rPr>
        <w:t>Risk assessments should be reviewed whenever there is a change of use in a particula</w:t>
      </w:r>
      <w:r w:rsidR="000E4640">
        <w:rPr>
          <w:rFonts w:asciiTheme="majorHAnsi" w:hAnsiTheme="majorHAnsi" w:cstheme="majorBidi"/>
          <w:sz w:val="20"/>
          <w:szCs w:val="20"/>
        </w:rPr>
        <w:t xml:space="preserve">r area </w:t>
      </w:r>
      <w:proofErr w:type="gramStart"/>
      <w:r w:rsidR="000E4640">
        <w:rPr>
          <w:rFonts w:asciiTheme="majorHAnsi" w:hAnsiTheme="majorHAnsi" w:cstheme="majorBidi"/>
          <w:sz w:val="20"/>
          <w:szCs w:val="20"/>
        </w:rPr>
        <w:t>e.g.</w:t>
      </w:r>
      <w:proofErr w:type="gramEnd"/>
      <w:r w:rsidR="000E4640">
        <w:rPr>
          <w:rFonts w:asciiTheme="majorHAnsi" w:hAnsiTheme="majorHAnsi" w:cstheme="majorBidi"/>
          <w:sz w:val="20"/>
          <w:szCs w:val="20"/>
        </w:rPr>
        <w:t xml:space="preserve"> altering a classroom to a nursery room, and </w:t>
      </w:r>
      <w:r w:rsidRPr="555CDA23">
        <w:rPr>
          <w:rFonts w:asciiTheme="majorHAnsi" w:hAnsiTheme="majorHAnsi" w:cstheme="majorBidi"/>
          <w:sz w:val="20"/>
          <w:szCs w:val="20"/>
        </w:rPr>
        <w:t>when designing and developing extensions and new builds.</w:t>
      </w:r>
    </w:p>
    <w:p w14:paraId="6E77954E" w14:textId="77777777" w:rsidR="0093350E" w:rsidRPr="004B1DD0" w:rsidRDefault="555CDA23" w:rsidP="555CDA23">
      <w:pPr>
        <w:pStyle w:val="Heading2"/>
        <w:spacing w:line="276" w:lineRule="auto"/>
        <w:jc w:val="both"/>
        <w:rPr>
          <w:rFonts w:asciiTheme="majorHAnsi" w:hAnsiTheme="majorHAnsi" w:cstheme="majorBidi"/>
          <w:sz w:val="24"/>
          <w:szCs w:val="24"/>
          <w:u w:val="single"/>
        </w:rPr>
      </w:pPr>
      <w:r w:rsidRPr="555CDA23">
        <w:rPr>
          <w:rFonts w:asciiTheme="majorHAnsi" w:hAnsiTheme="majorHAnsi" w:cstheme="majorBidi"/>
          <w:sz w:val="24"/>
          <w:szCs w:val="24"/>
          <w:u w:val="single"/>
        </w:rPr>
        <w:t>Control Measures</w:t>
      </w:r>
    </w:p>
    <w:p w14:paraId="4430418B" w14:textId="77777777" w:rsidR="0093350E" w:rsidRPr="0093350E" w:rsidRDefault="555CDA23" w:rsidP="555CDA23">
      <w:pPr>
        <w:pStyle w:val="NormalWeb"/>
        <w:spacing w:before="0" w:beforeAutospacing="0" w:after="0" w:afterAutospacing="0" w:line="276" w:lineRule="auto"/>
        <w:jc w:val="both"/>
        <w:rPr>
          <w:rFonts w:asciiTheme="majorHAnsi" w:hAnsiTheme="majorHAnsi" w:cstheme="majorBidi"/>
          <w:sz w:val="20"/>
          <w:szCs w:val="20"/>
        </w:rPr>
      </w:pPr>
      <w:r w:rsidRPr="555CDA23">
        <w:rPr>
          <w:rFonts w:asciiTheme="majorHAnsi" w:hAnsiTheme="majorHAnsi" w:cstheme="majorBidi"/>
          <w:sz w:val="20"/>
          <w:szCs w:val="20"/>
        </w:rPr>
        <w:t>Once risks have been assessed, control measures may need to be implemented, for example:</w:t>
      </w:r>
    </w:p>
    <w:p w14:paraId="04C60678" w14:textId="422BF7AC" w:rsidR="0093350E" w:rsidRPr="0093350E" w:rsidRDefault="0093350E" w:rsidP="000E4640">
      <w:pPr>
        <w:numPr>
          <w:ilvl w:val="0"/>
          <w:numId w:val="5"/>
        </w:numPr>
        <w:spacing w:beforeAutospacing="1" w:after="0" w:afterAutospacing="1" w:line="276" w:lineRule="auto"/>
        <w:rPr>
          <w:rFonts w:asciiTheme="majorHAnsi" w:hAnsiTheme="majorHAnsi" w:cstheme="majorBidi"/>
          <w:sz w:val="20"/>
          <w:szCs w:val="20"/>
        </w:rPr>
      </w:pPr>
      <w:r w:rsidRPr="555CDA23">
        <w:rPr>
          <w:rFonts w:asciiTheme="majorHAnsi" w:hAnsiTheme="majorHAnsi" w:cstheme="majorBidi"/>
          <w:sz w:val="20"/>
          <w:szCs w:val="20"/>
        </w:rPr>
        <w:t>Installing proprietary finger protection devices on all doors identified as posing a significant risk.</w:t>
      </w:r>
      <w:r w:rsidRPr="555CDA23">
        <w:rPr>
          <w:rFonts w:asciiTheme="majorHAnsi" w:hAnsiTheme="majorHAnsi" w:cstheme="majorBidi"/>
          <w:sz w:val="20"/>
          <w:szCs w:val="20"/>
          <w:bdr w:val="none" w:sz="0" w:space="0" w:color="auto" w:frame="1"/>
        </w:rPr>
        <w:t> </w:t>
      </w:r>
      <w:r w:rsidRPr="555CDA23">
        <w:rPr>
          <w:rFonts w:asciiTheme="majorHAnsi" w:hAnsiTheme="majorHAnsi" w:cstheme="majorBidi"/>
          <w:sz w:val="20"/>
          <w:szCs w:val="20"/>
        </w:rPr>
        <w:t>This is the most effective and the preferred option where young or vulnerable pupils are present.   </w:t>
      </w:r>
    </w:p>
    <w:p w14:paraId="3529610D" w14:textId="77777777" w:rsidR="0093350E" w:rsidRPr="0093350E" w:rsidRDefault="555CDA23" w:rsidP="000E464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Theme="majorHAnsi" w:hAnsiTheme="majorHAnsi" w:cstheme="majorBidi"/>
          <w:sz w:val="20"/>
          <w:szCs w:val="20"/>
        </w:rPr>
      </w:pPr>
      <w:r w:rsidRPr="555CDA23">
        <w:rPr>
          <w:rFonts w:asciiTheme="majorHAnsi" w:hAnsiTheme="majorHAnsi" w:cstheme="majorBidi"/>
          <w:sz w:val="20"/>
          <w:szCs w:val="20"/>
        </w:rPr>
        <w:t>Adjusting or replacing defective door closers to regulate the speed at which doors close.   </w:t>
      </w:r>
    </w:p>
    <w:p w14:paraId="36B171CB" w14:textId="77777777" w:rsidR="0093350E" w:rsidRPr="0093350E" w:rsidRDefault="555CDA23" w:rsidP="000E464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Theme="majorHAnsi" w:hAnsiTheme="majorHAnsi" w:cstheme="majorBidi"/>
          <w:sz w:val="20"/>
          <w:szCs w:val="20"/>
        </w:rPr>
      </w:pPr>
      <w:r w:rsidRPr="555CDA23">
        <w:rPr>
          <w:rFonts w:asciiTheme="majorHAnsi" w:hAnsiTheme="majorHAnsi" w:cstheme="majorBidi"/>
          <w:sz w:val="20"/>
          <w:szCs w:val="20"/>
        </w:rPr>
        <w:t>Ensuring that all doors are inspected periodically - including door closers and any existing finger protection devices.</w:t>
      </w:r>
    </w:p>
    <w:p w14:paraId="6B3E861B" w14:textId="77777777" w:rsidR="0093350E" w:rsidRPr="0093350E" w:rsidRDefault="555CDA23" w:rsidP="000E464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Theme="majorHAnsi" w:hAnsiTheme="majorHAnsi" w:cstheme="majorBidi"/>
          <w:sz w:val="20"/>
          <w:szCs w:val="20"/>
        </w:rPr>
      </w:pPr>
      <w:r w:rsidRPr="555CDA23">
        <w:rPr>
          <w:rFonts w:asciiTheme="majorHAnsi" w:hAnsiTheme="majorHAnsi" w:cstheme="majorBidi"/>
          <w:sz w:val="20"/>
          <w:szCs w:val="20"/>
        </w:rPr>
        <w:t xml:space="preserve">Ensuring that congregating / queueing near doorways is </w:t>
      </w:r>
      <w:proofErr w:type="spellStart"/>
      <w:r w:rsidRPr="555CDA23">
        <w:rPr>
          <w:rFonts w:asciiTheme="majorHAnsi" w:hAnsiTheme="majorHAnsi" w:cstheme="majorBidi"/>
          <w:sz w:val="20"/>
          <w:szCs w:val="20"/>
        </w:rPr>
        <w:t>minmised</w:t>
      </w:r>
      <w:proofErr w:type="spellEnd"/>
      <w:r w:rsidRPr="555CDA23">
        <w:rPr>
          <w:rFonts w:asciiTheme="majorHAnsi" w:hAnsiTheme="majorHAnsi" w:cstheme="majorBidi"/>
          <w:sz w:val="20"/>
          <w:szCs w:val="20"/>
        </w:rPr>
        <w:t xml:space="preserve"> and where this takes place pupils are adequately supervised.</w:t>
      </w:r>
    </w:p>
    <w:p w14:paraId="02C36BC4" w14:textId="2BC9503C" w:rsidR="0093350E" w:rsidRDefault="555CDA23" w:rsidP="000E464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Theme="majorHAnsi" w:hAnsiTheme="majorHAnsi" w:cstheme="majorBidi"/>
          <w:sz w:val="20"/>
          <w:szCs w:val="20"/>
        </w:rPr>
      </w:pPr>
      <w:r w:rsidRPr="555CDA23">
        <w:rPr>
          <w:rFonts w:asciiTheme="majorHAnsi" w:hAnsiTheme="majorHAnsi" w:cstheme="majorBidi"/>
          <w:sz w:val="20"/>
          <w:szCs w:val="20"/>
        </w:rPr>
        <w:t>Also, schools should give regular information to staff and pupils on dangers of finger trapping.</w:t>
      </w:r>
    </w:p>
    <w:p w14:paraId="6517E3F6" w14:textId="1987EFED" w:rsidR="000E4640" w:rsidRDefault="000E4640" w:rsidP="000E464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Theme="majorHAnsi" w:hAnsiTheme="majorHAnsi" w:cstheme="majorBidi"/>
          <w:sz w:val="20"/>
          <w:szCs w:val="20"/>
        </w:rPr>
      </w:pPr>
      <w:r>
        <w:rPr>
          <w:rFonts w:asciiTheme="majorHAnsi" w:hAnsiTheme="majorHAnsi" w:cstheme="majorBidi"/>
          <w:sz w:val="20"/>
          <w:szCs w:val="20"/>
        </w:rPr>
        <w:t>Communicating with and inducting lettings.</w:t>
      </w:r>
    </w:p>
    <w:p w14:paraId="0A37501D" w14:textId="77777777" w:rsidR="004B1DD0" w:rsidRDefault="004B1DD0" w:rsidP="555CDA23">
      <w:pPr>
        <w:spacing w:before="100" w:beforeAutospacing="1" w:after="100" w:afterAutospacing="1" w:line="276" w:lineRule="auto"/>
        <w:jc w:val="both"/>
        <w:rPr>
          <w:rFonts w:asciiTheme="majorHAnsi" w:hAnsiTheme="majorHAnsi" w:cstheme="majorBidi"/>
          <w:sz w:val="20"/>
          <w:szCs w:val="20"/>
        </w:rPr>
      </w:pPr>
    </w:p>
    <w:p w14:paraId="5DAB6C7B" w14:textId="77777777" w:rsidR="004B1DD0" w:rsidRPr="0093350E" w:rsidRDefault="004B1DD0" w:rsidP="555CDA23">
      <w:pPr>
        <w:spacing w:before="100" w:beforeAutospacing="1" w:after="100" w:afterAutospacing="1" w:line="276" w:lineRule="auto"/>
        <w:jc w:val="both"/>
        <w:rPr>
          <w:rFonts w:asciiTheme="majorHAnsi" w:hAnsiTheme="majorHAnsi" w:cstheme="majorBidi"/>
          <w:sz w:val="20"/>
          <w:szCs w:val="20"/>
        </w:rPr>
      </w:pPr>
    </w:p>
    <w:p w14:paraId="1C8E5D84" w14:textId="35B2528F" w:rsidR="000B396E" w:rsidRPr="007A0D4A" w:rsidRDefault="000B396E" w:rsidP="000B396E">
      <w:pPr>
        <w:pStyle w:val="NormalWeb"/>
        <w:spacing w:before="0" w:beforeAutospacing="0" w:after="0" w:afterAutospacing="0" w:line="276" w:lineRule="auto"/>
        <w:rPr>
          <w:rFonts w:asciiTheme="majorHAnsi" w:hAnsiTheme="majorHAnsi" w:cstheme="majorBidi"/>
          <w:sz w:val="20"/>
          <w:szCs w:val="20"/>
        </w:rPr>
      </w:pPr>
      <w:r w:rsidRPr="555CDA23">
        <w:rPr>
          <w:rFonts w:asciiTheme="majorHAnsi" w:hAnsiTheme="majorHAnsi" w:cstheme="majorBidi"/>
          <w:sz w:val="20"/>
          <w:szCs w:val="20"/>
        </w:rPr>
        <w:lastRenderedPageBreak/>
        <w:t>Doors and any devices fitted (such as self</w:t>
      </w:r>
      <w:r>
        <w:rPr>
          <w:rFonts w:asciiTheme="majorHAnsi" w:hAnsiTheme="majorHAnsi" w:cstheme="majorBidi"/>
          <w:sz w:val="20"/>
          <w:szCs w:val="20"/>
        </w:rPr>
        <w:t>-</w:t>
      </w:r>
      <w:r w:rsidRPr="555CDA23">
        <w:rPr>
          <w:rFonts w:asciiTheme="majorHAnsi" w:hAnsiTheme="majorHAnsi" w:cstheme="majorBidi"/>
          <w:sz w:val="20"/>
          <w:szCs w:val="20"/>
        </w:rPr>
        <w:t>closers) should be visually checked regularly to ensure they are in good condition. Any doors with reported defects s</w:t>
      </w:r>
      <w:r>
        <w:rPr>
          <w:rFonts w:asciiTheme="majorHAnsi" w:hAnsiTheme="majorHAnsi" w:cstheme="majorBidi"/>
          <w:sz w:val="20"/>
          <w:szCs w:val="20"/>
        </w:rPr>
        <w:t>h</w:t>
      </w:r>
      <w:r w:rsidRPr="555CDA23">
        <w:rPr>
          <w:rFonts w:asciiTheme="majorHAnsi" w:hAnsiTheme="majorHAnsi" w:cstheme="majorBidi"/>
          <w:sz w:val="20"/>
          <w:szCs w:val="20"/>
        </w:rPr>
        <w:t>ould be reported and repaired promptly. Where finger protection devices are installed, they should be visually inspected on a regular basis. The inspections should check for damage or deterioration in the devices so that appropriate remedial action can be taken.</w:t>
      </w:r>
      <w:r>
        <w:rPr>
          <w:rFonts w:asciiTheme="majorHAnsi" w:hAnsiTheme="majorHAnsi" w:cstheme="majorBidi"/>
          <w:sz w:val="20"/>
          <w:szCs w:val="20"/>
        </w:rPr>
        <w:t xml:space="preserve"> </w:t>
      </w:r>
      <w:r w:rsidRPr="555CDA23">
        <w:rPr>
          <w:rFonts w:asciiTheme="majorHAnsi" w:hAnsiTheme="majorHAnsi" w:cstheme="majorBidi"/>
          <w:sz w:val="20"/>
          <w:szCs w:val="20"/>
        </w:rPr>
        <w:t>In addition to the above checks all staff must report any damaged doors or protection devices as soon as they are identified. </w:t>
      </w:r>
    </w:p>
    <w:p w14:paraId="3648A929" w14:textId="77777777" w:rsidR="000B396E" w:rsidRDefault="000B396E" w:rsidP="555CDA23">
      <w:pPr>
        <w:pStyle w:val="NormalWeb"/>
        <w:spacing w:before="0" w:beforeAutospacing="0" w:after="0" w:afterAutospacing="0" w:line="276" w:lineRule="auto"/>
        <w:jc w:val="both"/>
        <w:rPr>
          <w:rFonts w:asciiTheme="majorHAnsi" w:hAnsiTheme="majorHAnsi" w:cstheme="majorBidi"/>
          <w:sz w:val="20"/>
          <w:szCs w:val="20"/>
        </w:rPr>
      </w:pPr>
    </w:p>
    <w:p w14:paraId="4578B550" w14:textId="118BABC0" w:rsidR="0093350E" w:rsidRPr="0093350E" w:rsidRDefault="000E4640" w:rsidP="555CDA23">
      <w:pPr>
        <w:pStyle w:val="NormalWeb"/>
        <w:spacing w:before="0" w:beforeAutospacing="0" w:after="0" w:afterAutospacing="0" w:line="276" w:lineRule="auto"/>
        <w:jc w:val="both"/>
        <w:rPr>
          <w:rFonts w:asciiTheme="majorHAnsi" w:hAnsiTheme="majorHAnsi" w:cstheme="majorBidi"/>
          <w:sz w:val="20"/>
          <w:szCs w:val="20"/>
        </w:rPr>
      </w:pPr>
      <w:r>
        <w:rPr>
          <w:rFonts w:asciiTheme="majorHAnsi" w:hAnsiTheme="majorHAnsi" w:cstheme="majorBidi"/>
          <w:sz w:val="20"/>
          <w:szCs w:val="20"/>
        </w:rPr>
        <w:t>Academies</w:t>
      </w:r>
      <w:r w:rsidR="555CDA23" w:rsidRPr="555CDA23">
        <w:rPr>
          <w:rFonts w:asciiTheme="majorHAnsi" w:hAnsiTheme="majorHAnsi" w:cstheme="majorBidi"/>
          <w:sz w:val="20"/>
          <w:szCs w:val="20"/>
        </w:rPr>
        <w:t xml:space="preserve"> must record their risk assessment of the potential of finger trapping as part of the normal risk assessment processes.  </w:t>
      </w:r>
    </w:p>
    <w:sectPr w:rsidR="0093350E" w:rsidRPr="0093350E" w:rsidSect="000044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53F0C"/>
    <w:multiLevelType w:val="multilevel"/>
    <w:tmpl w:val="E6EA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A77472"/>
    <w:multiLevelType w:val="multilevel"/>
    <w:tmpl w:val="067E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E32D8D"/>
    <w:multiLevelType w:val="multilevel"/>
    <w:tmpl w:val="7E6A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055C59"/>
    <w:multiLevelType w:val="multilevel"/>
    <w:tmpl w:val="3A54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9B4B3C"/>
    <w:multiLevelType w:val="multilevel"/>
    <w:tmpl w:val="F384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A45471"/>
    <w:multiLevelType w:val="multilevel"/>
    <w:tmpl w:val="58D2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9621902">
    <w:abstractNumId w:val="3"/>
  </w:num>
  <w:num w:numId="2" w16cid:durableId="566691023">
    <w:abstractNumId w:val="5"/>
  </w:num>
  <w:num w:numId="3" w16cid:durableId="292756970">
    <w:abstractNumId w:val="1"/>
  </w:num>
  <w:num w:numId="4" w16cid:durableId="1761366079">
    <w:abstractNumId w:val="2"/>
  </w:num>
  <w:num w:numId="5" w16cid:durableId="1031420667">
    <w:abstractNumId w:val="4"/>
  </w:num>
  <w:num w:numId="6" w16cid:durableId="166739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48C"/>
    <w:rsid w:val="0000448C"/>
    <w:rsid w:val="000B396E"/>
    <w:rsid w:val="000E4640"/>
    <w:rsid w:val="001562FF"/>
    <w:rsid w:val="0021424B"/>
    <w:rsid w:val="004B1DD0"/>
    <w:rsid w:val="007316A2"/>
    <w:rsid w:val="007A0D4A"/>
    <w:rsid w:val="0093350E"/>
    <w:rsid w:val="00BE3AAA"/>
    <w:rsid w:val="00C647DC"/>
    <w:rsid w:val="00D85DBD"/>
    <w:rsid w:val="555CD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6D1AA"/>
  <w15:chartTrackingRefBased/>
  <w15:docId w15:val="{0F7FEA39-C3BA-4608-977D-EA627A7D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7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04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448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00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044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647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 Thorley</dc:creator>
  <cp:keywords/>
  <dc:description/>
  <cp:lastModifiedBy>Helen  Thorley</cp:lastModifiedBy>
  <cp:revision>2</cp:revision>
  <dcterms:created xsi:type="dcterms:W3CDTF">2022-05-13T07:51:00Z</dcterms:created>
  <dcterms:modified xsi:type="dcterms:W3CDTF">2022-05-13T07:51:00Z</dcterms:modified>
</cp:coreProperties>
</file>